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00C8" w14:textId="77777777" w:rsidR="00C0709C" w:rsidRPr="008D0AD6" w:rsidRDefault="00C0709C" w:rsidP="00C0709C">
      <w:pPr>
        <w:pStyle w:val="Heading2"/>
        <w:rPr>
          <w:color w:val="auto"/>
        </w:rPr>
      </w:pPr>
      <w:bookmarkStart w:id="0" w:name="_Toc103076939"/>
      <w:bookmarkStart w:id="1" w:name="_Toc168476734"/>
      <w:bookmarkStart w:id="2" w:name="_Toc181001287"/>
      <w:r w:rsidRPr="008D0AD6">
        <w:rPr>
          <w:color w:val="auto"/>
        </w:rPr>
        <w:t>1.1 Resident Participation and Choice Policy and Procedure</w:t>
      </w:r>
      <w:bookmarkEnd w:id="0"/>
      <w:bookmarkEnd w:id="1"/>
      <w:bookmarkEnd w:id="2"/>
    </w:p>
    <w:p w14:paraId="260EDFFC" w14:textId="77777777" w:rsidR="00C0709C" w:rsidRPr="00686FB1" w:rsidRDefault="00C0709C" w:rsidP="00C0709C">
      <w:pPr>
        <w:rPr>
          <w:rFonts w:ascii="Open Sans" w:hAnsi="Open Sans" w:cs="Open Sans"/>
          <w:bCs/>
          <w:color w:val="auto"/>
          <w:sz w:val="20"/>
          <w:szCs w:val="20"/>
          <w:u w:val="single"/>
        </w:rPr>
      </w:pPr>
      <w:r w:rsidRPr="00686FB1">
        <w:rPr>
          <w:rFonts w:ascii="Open Sans" w:hAnsi="Open Sans" w:cs="Open Sans"/>
          <w:bCs/>
          <w:color w:val="auto"/>
          <w:sz w:val="20"/>
          <w:szCs w:val="20"/>
          <w:u w:val="single"/>
        </w:rPr>
        <w:t>Policy Statement</w:t>
      </w:r>
    </w:p>
    <w:p w14:paraId="23B38C88" w14:textId="77777777" w:rsidR="00C0709C" w:rsidRPr="00686FB1" w:rsidRDefault="00C0709C" w:rsidP="00C0709C">
      <w:pPr>
        <w:rPr>
          <w:rFonts w:ascii="Open Sans" w:hAnsi="Open Sans" w:cs="Open Sans"/>
          <w:color w:val="auto"/>
          <w:sz w:val="20"/>
          <w:szCs w:val="20"/>
        </w:rPr>
      </w:pPr>
      <w:r w:rsidRPr="00686FB1">
        <w:rPr>
          <w:rFonts w:ascii="Open Sans" w:hAnsi="Open Sans" w:cs="Open Sans"/>
          <w:color w:val="auto"/>
          <w:sz w:val="20"/>
          <w:szCs w:val="20"/>
        </w:rPr>
        <w:t>Maybanke Association actively supports client participation in governance and service delivery. We encourage skills development and self-reliance so that our clients can participate to the level they choose.</w:t>
      </w:r>
    </w:p>
    <w:p w14:paraId="3A2309E9" w14:textId="77777777" w:rsidR="00C0709C" w:rsidRPr="00686FB1" w:rsidRDefault="00C0709C" w:rsidP="00C0709C">
      <w:pPr>
        <w:rPr>
          <w:rFonts w:ascii="Open Sans" w:hAnsi="Open Sans" w:cs="Open Sans"/>
          <w:color w:val="auto"/>
          <w:sz w:val="20"/>
          <w:szCs w:val="20"/>
        </w:rPr>
      </w:pPr>
      <w:r w:rsidRPr="00686FB1">
        <w:rPr>
          <w:rFonts w:ascii="Open Sans" w:hAnsi="Open Sans" w:cs="Open Sans"/>
          <w:color w:val="auto"/>
          <w:sz w:val="20"/>
          <w:szCs w:val="20"/>
        </w:rPr>
        <w:t>Maybanke Association is committed to providing services that:</w:t>
      </w:r>
    </w:p>
    <w:p w14:paraId="6D3FF493" w14:textId="77777777" w:rsidR="00C0709C" w:rsidRPr="00686FB1" w:rsidRDefault="00C0709C" w:rsidP="00C0709C">
      <w:pPr>
        <w:pStyle w:val="ListParagraph"/>
        <w:numPr>
          <w:ilvl w:val="0"/>
          <w:numId w:val="3"/>
        </w:numPr>
        <w:rPr>
          <w:rFonts w:ascii="Open Sans" w:hAnsi="Open Sans" w:cs="Open Sans"/>
          <w:color w:val="auto"/>
          <w:sz w:val="20"/>
          <w:szCs w:val="20"/>
        </w:rPr>
      </w:pPr>
      <w:r w:rsidRPr="00686FB1">
        <w:rPr>
          <w:rFonts w:ascii="Open Sans" w:hAnsi="Open Sans" w:cs="Open Sans"/>
          <w:color w:val="auto"/>
          <w:sz w:val="20"/>
          <w:szCs w:val="20"/>
        </w:rPr>
        <w:t>Encourage and support clients to make informed choices, exercise control and maximise their independence relating to the supports provided</w:t>
      </w:r>
    </w:p>
    <w:p w14:paraId="4996AFCD" w14:textId="77777777" w:rsidR="00C0709C" w:rsidRPr="00686FB1" w:rsidRDefault="00C0709C" w:rsidP="00C0709C">
      <w:pPr>
        <w:pStyle w:val="ListParagraph"/>
        <w:numPr>
          <w:ilvl w:val="0"/>
          <w:numId w:val="3"/>
        </w:numPr>
        <w:rPr>
          <w:rFonts w:ascii="Open Sans" w:hAnsi="Open Sans" w:cs="Open Sans"/>
          <w:color w:val="auto"/>
          <w:sz w:val="20"/>
          <w:szCs w:val="20"/>
        </w:rPr>
      </w:pPr>
      <w:r w:rsidRPr="00686FB1">
        <w:rPr>
          <w:rFonts w:ascii="Open Sans" w:hAnsi="Open Sans" w:cs="Open Sans"/>
          <w:color w:val="auto"/>
          <w:sz w:val="20"/>
          <w:szCs w:val="20"/>
        </w:rPr>
        <w:t>Support service delivery that promotes, upholds and respects an individual's freedom of expression, self-determination and decision-making</w:t>
      </w:r>
    </w:p>
    <w:p w14:paraId="34E323D0" w14:textId="77777777" w:rsidR="00C0709C" w:rsidRPr="00686FB1" w:rsidRDefault="00C0709C" w:rsidP="00C0709C">
      <w:pPr>
        <w:pStyle w:val="ListParagraph"/>
        <w:numPr>
          <w:ilvl w:val="0"/>
          <w:numId w:val="3"/>
        </w:numPr>
        <w:rPr>
          <w:rFonts w:ascii="Open Sans" w:hAnsi="Open Sans" w:cs="Open Sans"/>
          <w:color w:val="auto"/>
          <w:sz w:val="20"/>
          <w:szCs w:val="20"/>
        </w:rPr>
      </w:pPr>
      <w:r w:rsidRPr="00686FB1">
        <w:rPr>
          <w:rFonts w:ascii="Open Sans" w:hAnsi="Open Sans" w:cs="Open Sans"/>
          <w:color w:val="auto"/>
          <w:sz w:val="20"/>
          <w:szCs w:val="20"/>
        </w:rPr>
        <w:t>Are grounded in best practice frameworks</w:t>
      </w:r>
    </w:p>
    <w:p w14:paraId="08E1C253" w14:textId="77777777" w:rsidR="00C0709C" w:rsidRPr="00686FB1" w:rsidRDefault="00C0709C" w:rsidP="00C0709C">
      <w:pPr>
        <w:pStyle w:val="ListParagraph"/>
        <w:numPr>
          <w:ilvl w:val="0"/>
          <w:numId w:val="3"/>
        </w:numPr>
        <w:rPr>
          <w:rFonts w:ascii="Open Sans" w:hAnsi="Open Sans" w:cs="Open Sans"/>
          <w:color w:val="auto"/>
          <w:sz w:val="20"/>
          <w:szCs w:val="20"/>
        </w:rPr>
      </w:pPr>
      <w:r w:rsidRPr="00686FB1">
        <w:rPr>
          <w:rFonts w:ascii="Open Sans" w:hAnsi="Open Sans" w:cs="Open Sans"/>
          <w:color w:val="auto"/>
          <w:sz w:val="20"/>
          <w:szCs w:val="20"/>
        </w:rPr>
        <w:t>Respect, support and recognise clients' diversity, values and beliefs</w:t>
      </w:r>
    </w:p>
    <w:p w14:paraId="57E8A2DF" w14:textId="77777777" w:rsidR="00C0709C" w:rsidRPr="00686FB1" w:rsidRDefault="00C0709C" w:rsidP="00C0709C">
      <w:pPr>
        <w:pStyle w:val="ListParagraph"/>
        <w:numPr>
          <w:ilvl w:val="0"/>
          <w:numId w:val="3"/>
        </w:numPr>
        <w:rPr>
          <w:rFonts w:ascii="Open Sans" w:hAnsi="Open Sans" w:cs="Open Sans"/>
          <w:color w:val="auto"/>
          <w:sz w:val="20"/>
          <w:szCs w:val="20"/>
        </w:rPr>
      </w:pPr>
      <w:r w:rsidRPr="00686FB1">
        <w:rPr>
          <w:rFonts w:ascii="Open Sans" w:hAnsi="Open Sans" w:cs="Open Sans"/>
          <w:color w:val="auto"/>
          <w:sz w:val="20"/>
          <w:szCs w:val="20"/>
        </w:rPr>
        <w:t>Uphold the legal and human rights of clients, members and staff</w:t>
      </w:r>
    </w:p>
    <w:p w14:paraId="12BD321C" w14:textId="77777777" w:rsidR="00C0709C" w:rsidRPr="00686FB1" w:rsidRDefault="00C0709C" w:rsidP="00C0709C">
      <w:pPr>
        <w:pStyle w:val="ListParagraph"/>
        <w:numPr>
          <w:ilvl w:val="0"/>
          <w:numId w:val="3"/>
        </w:numPr>
        <w:rPr>
          <w:rFonts w:ascii="Open Sans" w:hAnsi="Open Sans" w:cs="Open Sans"/>
          <w:color w:val="auto"/>
          <w:sz w:val="20"/>
          <w:szCs w:val="20"/>
        </w:rPr>
      </w:pPr>
      <w:r w:rsidRPr="00686FB1">
        <w:rPr>
          <w:rFonts w:ascii="Open Sans" w:hAnsi="Open Sans" w:cs="Open Sans"/>
          <w:color w:val="auto"/>
          <w:sz w:val="20"/>
          <w:szCs w:val="20"/>
        </w:rPr>
        <w:t>Support clients and others to make a complaint or provide feedback</w:t>
      </w:r>
    </w:p>
    <w:p w14:paraId="7F3821A0" w14:textId="77777777" w:rsidR="00C0709C" w:rsidRPr="00686FB1" w:rsidRDefault="00C0709C" w:rsidP="00C0709C">
      <w:pPr>
        <w:pStyle w:val="ListParagraph"/>
        <w:numPr>
          <w:ilvl w:val="0"/>
          <w:numId w:val="3"/>
        </w:numPr>
        <w:rPr>
          <w:rFonts w:ascii="Open Sans" w:hAnsi="Open Sans" w:cs="Open Sans"/>
          <w:color w:val="auto"/>
          <w:sz w:val="20"/>
          <w:szCs w:val="20"/>
        </w:rPr>
      </w:pPr>
      <w:r w:rsidRPr="00686FB1">
        <w:rPr>
          <w:rFonts w:ascii="Open Sans" w:hAnsi="Open Sans" w:cs="Open Sans"/>
          <w:color w:val="auto"/>
          <w:sz w:val="20"/>
          <w:szCs w:val="20"/>
        </w:rPr>
        <w:t>Acknowledge, respect and maintain clients' privacy and dignity</w:t>
      </w:r>
    </w:p>
    <w:p w14:paraId="276F05F1" w14:textId="77777777" w:rsidR="00C0709C" w:rsidRPr="00686FB1" w:rsidRDefault="00C0709C" w:rsidP="00C0709C">
      <w:pPr>
        <w:pStyle w:val="ListParagraph"/>
        <w:numPr>
          <w:ilvl w:val="0"/>
          <w:numId w:val="3"/>
        </w:numPr>
        <w:rPr>
          <w:rFonts w:ascii="Open Sans" w:hAnsi="Open Sans" w:cs="Open Sans"/>
          <w:color w:val="auto"/>
          <w:sz w:val="20"/>
          <w:szCs w:val="20"/>
        </w:rPr>
      </w:pPr>
      <w:r w:rsidRPr="00686FB1">
        <w:rPr>
          <w:rFonts w:ascii="Open Sans" w:hAnsi="Open Sans" w:cs="Open Sans"/>
          <w:color w:val="auto"/>
          <w:sz w:val="20"/>
          <w:szCs w:val="20"/>
        </w:rPr>
        <w:t>Protect clients from abuse, neglect, harm and exploitation</w:t>
      </w:r>
    </w:p>
    <w:p w14:paraId="6943AA1E" w14:textId="77777777" w:rsidR="00C0709C" w:rsidRPr="00686FB1" w:rsidRDefault="00C0709C" w:rsidP="00C0709C">
      <w:pPr>
        <w:pStyle w:val="ListParagraph"/>
        <w:numPr>
          <w:ilvl w:val="0"/>
          <w:numId w:val="3"/>
        </w:numPr>
        <w:rPr>
          <w:rFonts w:ascii="Open Sans" w:hAnsi="Open Sans" w:cs="Open Sans"/>
          <w:color w:val="auto"/>
          <w:sz w:val="20"/>
          <w:szCs w:val="20"/>
        </w:rPr>
      </w:pPr>
      <w:r w:rsidRPr="00686FB1">
        <w:rPr>
          <w:rFonts w:ascii="Open Sans" w:hAnsi="Open Sans" w:cs="Open Sans"/>
          <w:color w:val="auto"/>
          <w:sz w:val="20"/>
          <w:szCs w:val="20"/>
        </w:rPr>
        <w:t>Are delivered within an ethical and regulated framework that:</w:t>
      </w:r>
    </w:p>
    <w:p w14:paraId="63E22A3F" w14:textId="77777777" w:rsidR="00C0709C" w:rsidRPr="00686FB1" w:rsidRDefault="00C0709C" w:rsidP="00C0709C">
      <w:pPr>
        <w:pStyle w:val="ListParagraph"/>
        <w:numPr>
          <w:ilvl w:val="1"/>
          <w:numId w:val="3"/>
        </w:numPr>
        <w:rPr>
          <w:rFonts w:ascii="Open Sans" w:hAnsi="Open Sans" w:cs="Open Sans"/>
          <w:color w:val="auto"/>
          <w:sz w:val="20"/>
          <w:szCs w:val="20"/>
        </w:rPr>
      </w:pPr>
      <w:r w:rsidRPr="00686FB1">
        <w:rPr>
          <w:rFonts w:ascii="Open Sans" w:hAnsi="Open Sans" w:cs="Open Sans"/>
          <w:color w:val="auto"/>
          <w:sz w:val="20"/>
          <w:szCs w:val="20"/>
        </w:rPr>
        <w:t xml:space="preserve">Meets the requirements of Human Services Quality Framework and Common Risk &amp; Safety Framework </w:t>
      </w:r>
    </w:p>
    <w:p w14:paraId="767B9B8F" w14:textId="77777777" w:rsidR="00C0709C" w:rsidRPr="00686FB1" w:rsidRDefault="00C0709C" w:rsidP="00C0709C">
      <w:pPr>
        <w:pStyle w:val="ListParagraph"/>
        <w:numPr>
          <w:ilvl w:val="1"/>
          <w:numId w:val="3"/>
        </w:numPr>
        <w:rPr>
          <w:rFonts w:ascii="Open Sans" w:hAnsi="Open Sans" w:cs="Open Sans"/>
          <w:color w:val="auto"/>
          <w:sz w:val="20"/>
          <w:szCs w:val="20"/>
        </w:rPr>
      </w:pPr>
      <w:r w:rsidRPr="00686FB1">
        <w:rPr>
          <w:rFonts w:ascii="Open Sans" w:hAnsi="Open Sans" w:cs="Open Sans"/>
          <w:color w:val="auto"/>
          <w:sz w:val="20"/>
          <w:szCs w:val="20"/>
        </w:rPr>
        <w:t>Meets the needs of our professional registration board, membership and supervision</w:t>
      </w:r>
    </w:p>
    <w:p w14:paraId="7F0BB3A2" w14:textId="77777777" w:rsidR="00C0709C" w:rsidRPr="00686FB1" w:rsidRDefault="00C0709C" w:rsidP="00C0709C">
      <w:pPr>
        <w:pStyle w:val="ListParagraph"/>
        <w:numPr>
          <w:ilvl w:val="1"/>
          <w:numId w:val="3"/>
        </w:numPr>
        <w:rPr>
          <w:rFonts w:ascii="Open Sans" w:hAnsi="Open Sans" w:cs="Open Sans"/>
          <w:color w:val="auto"/>
          <w:sz w:val="20"/>
          <w:szCs w:val="20"/>
        </w:rPr>
      </w:pPr>
      <w:r w:rsidRPr="00686FB1">
        <w:rPr>
          <w:rFonts w:ascii="Open Sans" w:hAnsi="Open Sans" w:cs="Open Sans"/>
          <w:color w:val="auto"/>
          <w:sz w:val="20"/>
          <w:szCs w:val="20"/>
        </w:rPr>
        <w:t>Maintain the standards of the professional Code of Conduct and Code of Ethics.</w:t>
      </w:r>
    </w:p>
    <w:p w14:paraId="7EF74343" w14:textId="77777777" w:rsidR="00C0709C" w:rsidRPr="00DF7D54" w:rsidRDefault="00C0709C" w:rsidP="00C0709C">
      <w:pPr>
        <w:rPr>
          <w:rFonts w:ascii="Open Sans" w:hAnsi="Open Sans" w:cs="Open Sans"/>
          <w:b/>
          <w:color w:val="auto"/>
          <w:sz w:val="20"/>
          <w:szCs w:val="20"/>
          <w:u w:val="single"/>
        </w:rPr>
      </w:pPr>
      <w:bookmarkStart w:id="3" w:name="_Toc102211686"/>
      <w:bookmarkStart w:id="4" w:name="_Toc102213578"/>
      <w:bookmarkStart w:id="5" w:name="_Toc102215403"/>
      <w:bookmarkStart w:id="6" w:name="_Toc102217242"/>
      <w:bookmarkStart w:id="7" w:name="_Toc102227397"/>
      <w:r w:rsidRPr="00DF7D54">
        <w:rPr>
          <w:rFonts w:ascii="Open Sans" w:hAnsi="Open Sans" w:cs="Open Sans"/>
          <w:bCs/>
          <w:color w:val="auto"/>
          <w:sz w:val="20"/>
          <w:szCs w:val="20"/>
          <w:u w:val="single"/>
        </w:rPr>
        <w:t>Scope</w:t>
      </w:r>
      <w:bookmarkEnd w:id="3"/>
      <w:bookmarkEnd w:id="4"/>
      <w:bookmarkEnd w:id="5"/>
      <w:bookmarkEnd w:id="6"/>
      <w:bookmarkEnd w:id="7"/>
    </w:p>
    <w:p w14:paraId="6EDC5374" w14:textId="77777777" w:rsidR="00C0709C" w:rsidRPr="00DF7D54" w:rsidRDefault="00C0709C" w:rsidP="00C0709C">
      <w:pPr>
        <w:rPr>
          <w:rFonts w:ascii="Open Sans" w:hAnsi="Open Sans" w:cs="Open Sans"/>
          <w:color w:val="auto"/>
          <w:sz w:val="20"/>
          <w:szCs w:val="20"/>
        </w:rPr>
      </w:pPr>
      <w:r w:rsidRPr="00DF7D54">
        <w:rPr>
          <w:rFonts w:ascii="Open Sans" w:hAnsi="Open Sans" w:cs="Open Sans"/>
          <w:color w:val="auto"/>
          <w:sz w:val="20"/>
          <w:szCs w:val="20"/>
        </w:rPr>
        <w:t xml:space="preserve">This policy and procedure </w:t>
      </w:r>
      <w:proofErr w:type="gramStart"/>
      <w:r w:rsidRPr="00DF7D54">
        <w:rPr>
          <w:rFonts w:ascii="Open Sans" w:hAnsi="Open Sans" w:cs="Open Sans"/>
          <w:color w:val="auto"/>
          <w:sz w:val="20"/>
          <w:szCs w:val="20"/>
        </w:rPr>
        <w:t>applies</w:t>
      </w:r>
      <w:proofErr w:type="gramEnd"/>
      <w:r w:rsidRPr="00DF7D54">
        <w:rPr>
          <w:rFonts w:ascii="Open Sans" w:hAnsi="Open Sans" w:cs="Open Sans"/>
          <w:color w:val="auto"/>
          <w:sz w:val="20"/>
          <w:szCs w:val="20"/>
        </w:rPr>
        <w:t xml:space="preserve"> to Maybanke Association Inc. as a whole.</w:t>
      </w:r>
    </w:p>
    <w:p w14:paraId="157A7B8F" w14:textId="77777777" w:rsidR="00C0709C" w:rsidRPr="00686FB1" w:rsidRDefault="00C0709C" w:rsidP="00C0709C">
      <w:pPr>
        <w:rPr>
          <w:rFonts w:ascii="Open Sans" w:hAnsi="Open Sans" w:cs="Open Sans"/>
          <w:bCs/>
          <w:color w:val="auto"/>
          <w:sz w:val="20"/>
          <w:szCs w:val="20"/>
          <w:u w:val="single"/>
        </w:rPr>
      </w:pPr>
      <w:bookmarkStart w:id="8" w:name="_Toc102211687"/>
      <w:bookmarkStart w:id="9" w:name="_Toc102213579"/>
      <w:bookmarkStart w:id="10" w:name="_Toc102215404"/>
      <w:bookmarkStart w:id="11" w:name="_Toc102217243"/>
      <w:bookmarkStart w:id="12" w:name="_Toc102227398"/>
      <w:r w:rsidRPr="00686FB1">
        <w:rPr>
          <w:rFonts w:ascii="Open Sans" w:hAnsi="Open Sans" w:cs="Open Sans"/>
          <w:bCs/>
          <w:color w:val="auto"/>
          <w:sz w:val="20"/>
          <w:szCs w:val="20"/>
          <w:u w:val="single"/>
        </w:rPr>
        <w:t>HSQF Related Standards</w:t>
      </w:r>
      <w:bookmarkEnd w:id="8"/>
      <w:bookmarkEnd w:id="9"/>
      <w:bookmarkEnd w:id="10"/>
      <w:bookmarkEnd w:id="11"/>
      <w:bookmarkEnd w:id="12"/>
    </w:p>
    <w:p w14:paraId="16E2DE84" w14:textId="77777777" w:rsidR="00C0709C" w:rsidRDefault="00C0709C" w:rsidP="00C0709C">
      <w:pPr>
        <w:rPr>
          <w:rFonts w:ascii="Open Sans" w:hAnsi="Open Sans" w:cs="Open Sans"/>
          <w:color w:val="auto"/>
          <w:sz w:val="20"/>
          <w:szCs w:val="20"/>
        </w:rPr>
      </w:pPr>
      <w:r w:rsidRPr="00DF7D54">
        <w:rPr>
          <w:rFonts w:ascii="Open Sans" w:hAnsi="Open Sans" w:cs="Open Sans"/>
          <w:color w:val="auto"/>
          <w:sz w:val="20"/>
          <w:szCs w:val="20"/>
        </w:rPr>
        <w:t>Human Services Quality Standards Indicator 1.6</w:t>
      </w:r>
    </w:p>
    <w:p w14:paraId="187F1EF5" w14:textId="77777777" w:rsidR="00C0709C" w:rsidRPr="00A23902" w:rsidRDefault="00C0709C" w:rsidP="00C0709C">
      <w:pPr>
        <w:rPr>
          <w:rFonts w:ascii="Open Sans" w:hAnsi="Open Sans" w:cs="Open Sans"/>
          <w:color w:val="auto"/>
          <w:sz w:val="20"/>
          <w:szCs w:val="20"/>
        </w:rPr>
      </w:pPr>
      <w:r w:rsidRPr="00A23902">
        <w:rPr>
          <w:rFonts w:ascii="Open Sans" w:hAnsi="Open Sans" w:cs="Open Sans"/>
          <w:color w:val="auto"/>
          <w:sz w:val="20"/>
          <w:szCs w:val="20"/>
        </w:rPr>
        <w:t>Human Services Quality Standards Indicator 4.4</w:t>
      </w:r>
    </w:p>
    <w:p w14:paraId="5FD36EE6" w14:textId="77777777" w:rsidR="00C0709C" w:rsidRPr="00A23902" w:rsidRDefault="00C0709C" w:rsidP="00C0709C">
      <w:pPr>
        <w:rPr>
          <w:rFonts w:ascii="Open Sans" w:hAnsi="Open Sans" w:cs="Open Sans"/>
          <w:color w:val="auto"/>
          <w:sz w:val="20"/>
          <w:szCs w:val="20"/>
        </w:rPr>
      </w:pPr>
      <w:r w:rsidRPr="00A23902">
        <w:rPr>
          <w:rFonts w:ascii="Open Sans" w:hAnsi="Open Sans" w:cs="Open Sans"/>
          <w:color w:val="auto"/>
          <w:sz w:val="20"/>
          <w:szCs w:val="20"/>
        </w:rPr>
        <w:t>Human Services Quality Standards Indicator 4.5</w:t>
      </w:r>
    </w:p>
    <w:p w14:paraId="4D525BD9" w14:textId="77777777" w:rsidR="00C0709C" w:rsidRPr="00686FB1" w:rsidRDefault="00C0709C" w:rsidP="00C0709C">
      <w:pPr>
        <w:rPr>
          <w:rFonts w:ascii="Open Sans" w:hAnsi="Open Sans" w:cs="Open Sans"/>
          <w:color w:val="auto"/>
          <w:sz w:val="20"/>
          <w:szCs w:val="20"/>
          <w:u w:val="single"/>
        </w:rPr>
      </w:pPr>
      <w:bookmarkStart w:id="13" w:name="_Toc102211688"/>
      <w:bookmarkStart w:id="14" w:name="_Toc102213580"/>
      <w:bookmarkStart w:id="15" w:name="_Toc102215405"/>
      <w:bookmarkStart w:id="16" w:name="_Toc102217244"/>
      <w:bookmarkStart w:id="17" w:name="_Toc102227399"/>
      <w:r w:rsidRPr="00686FB1">
        <w:rPr>
          <w:rFonts w:ascii="Open Sans" w:hAnsi="Open Sans" w:cs="Open Sans"/>
          <w:color w:val="auto"/>
          <w:sz w:val="20"/>
          <w:szCs w:val="20"/>
          <w:u w:val="single"/>
        </w:rPr>
        <w:t>Related Legislation</w:t>
      </w:r>
    </w:p>
    <w:p w14:paraId="6B9A7C0E" w14:textId="77777777" w:rsidR="00C0709C" w:rsidRPr="00FD5703" w:rsidRDefault="00C0709C" w:rsidP="00C0709C">
      <w:pPr>
        <w:rPr>
          <w:rFonts w:ascii="Open Sans" w:hAnsi="Open Sans" w:cs="Open Sans"/>
          <w:color w:val="auto"/>
          <w:sz w:val="20"/>
          <w:szCs w:val="20"/>
        </w:rPr>
      </w:pPr>
      <w:r w:rsidRPr="00FD5703">
        <w:rPr>
          <w:rFonts w:ascii="Open Sans" w:hAnsi="Open Sans" w:cs="Open Sans"/>
          <w:color w:val="auto"/>
          <w:sz w:val="20"/>
          <w:szCs w:val="20"/>
        </w:rPr>
        <w:t>Human Rights Act 2019, section 13</w:t>
      </w:r>
    </w:p>
    <w:p w14:paraId="20961854" w14:textId="77777777" w:rsidR="00C0709C" w:rsidRDefault="00C0709C" w:rsidP="00C0709C">
      <w:pPr>
        <w:rPr>
          <w:rFonts w:ascii="Open Sans" w:hAnsi="Open Sans" w:cs="Open Sans"/>
          <w:color w:val="auto"/>
          <w:sz w:val="20"/>
          <w:szCs w:val="20"/>
        </w:rPr>
      </w:pPr>
    </w:p>
    <w:p w14:paraId="39301014" w14:textId="77777777" w:rsidR="00C0709C" w:rsidRDefault="00C0709C" w:rsidP="00C0709C">
      <w:pPr>
        <w:rPr>
          <w:rFonts w:ascii="Open Sans" w:hAnsi="Open Sans" w:cs="Open Sans"/>
          <w:bCs/>
          <w:color w:val="auto"/>
          <w:sz w:val="20"/>
          <w:szCs w:val="20"/>
          <w:u w:val="single"/>
        </w:rPr>
      </w:pPr>
      <w:r>
        <w:rPr>
          <w:rFonts w:ascii="Open Sans" w:hAnsi="Open Sans" w:cs="Open Sans"/>
          <w:bCs/>
          <w:color w:val="auto"/>
          <w:sz w:val="20"/>
          <w:szCs w:val="20"/>
          <w:u w:val="single"/>
        </w:rPr>
        <w:t>Principles</w:t>
      </w:r>
    </w:p>
    <w:p w14:paraId="03E5A6A3" w14:textId="77777777" w:rsidR="00C0709C" w:rsidRPr="00686FB1" w:rsidRDefault="00C0709C" w:rsidP="00C0709C">
      <w:pPr>
        <w:rPr>
          <w:rFonts w:ascii="Open Sans" w:hAnsi="Open Sans" w:cs="Open Sans"/>
          <w:bCs/>
          <w:color w:val="auto"/>
          <w:sz w:val="20"/>
          <w:szCs w:val="20"/>
        </w:rPr>
      </w:pPr>
      <w:r w:rsidRPr="00686FB1">
        <w:rPr>
          <w:rFonts w:ascii="Open Sans" w:hAnsi="Open Sans" w:cs="Open Sans"/>
          <w:bCs/>
          <w:color w:val="auto"/>
          <w:sz w:val="20"/>
          <w:szCs w:val="20"/>
        </w:rPr>
        <w:t xml:space="preserve">The principles that support </w:t>
      </w:r>
      <w:r w:rsidRPr="00DF7D54">
        <w:rPr>
          <w:rFonts w:ascii="Open Sans" w:hAnsi="Open Sans" w:cs="Open Sans"/>
          <w:color w:val="auto"/>
          <w:sz w:val="20"/>
          <w:szCs w:val="20"/>
        </w:rPr>
        <w:t>Maybanke Association</w:t>
      </w:r>
      <w:r>
        <w:rPr>
          <w:rFonts w:ascii="Open Sans" w:hAnsi="Open Sans" w:cs="Open Sans"/>
          <w:color w:val="auto"/>
          <w:sz w:val="20"/>
          <w:szCs w:val="20"/>
        </w:rPr>
        <w:t>s</w:t>
      </w:r>
      <w:r w:rsidRPr="00686FB1">
        <w:rPr>
          <w:rFonts w:ascii="Open Sans" w:hAnsi="Open Sans" w:cs="Open Sans"/>
          <w:bCs/>
          <w:color w:val="auto"/>
          <w:sz w:val="20"/>
          <w:szCs w:val="20"/>
        </w:rPr>
        <w:t xml:space="preserve"> Client Participation and Choice Policy, Procedure and practice are:</w:t>
      </w:r>
    </w:p>
    <w:p w14:paraId="1C3666C0" w14:textId="77777777" w:rsidR="00C0709C" w:rsidRPr="00686FB1" w:rsidRDefault="00C0709C" w:rsidP="00C0709C">
      <w:pPr>
        <w:pStyle w:val="ListParagraph"/>
        <w:numPr>
          <w:ilvl w:val="0"/>
          <w:numId w:val="4"/>
        </w:numPr>
        <w:rPr>
          <w:rFonts w:ascii="Open Sans" w:hAnsi="Open Sans" w:cs="Open Sans"/>
          <w:bCs/>
          <w:color w:val="auto"/>
          <w:sz w:val="20"/>
          <w:szCs w:val="20"/>
        </w:rPr>
      </w:pPr>
      <w:r w:rsidRPr="00686FB1">
        <w:rPr>
          <w:rFonts w:ascii="Open Sans" w:hAnsi="Open Sans" w:cs="Open Sans"/>
          <w:bCs/>
          <w:color w:val="auto"/>
          <w:sz w:val="20"/>
          <w:szCs w:val="20"/>
        </w:rPr>
        <w:t>Human rights - services are planned and delivered in a manner that respects and upholds the individual's human rights</w:t>
      </w:r>
    </w:p>
    <w:p w14:paraId="6E109BAE" w14:textId="77777777" w:rsidR="00C0709C" w:rsidRPr="00686FB1" w:rsidRDefault="00C0709C" w:rsidP="00C0709C">
      <w:pPr>
        <w:pStyle w:val="ListParagraph"/>
        <w:numPr>
          <w:ilvl w:val="0"/>
          <w:numId w:val="4"/>
        </w:numPr>
        <w:rPr>
          <w:rFonts w:ascii="Open Sans" w:hAnsi="Open Sans" w:cs="Open Sans"/>
          <w:bCs/>
          <w:color w:val="auto"/>
          <w:sz w:val="20"/>
          <w:szCs w:val="20"/>
        </w:rPr>
      </w:pPr>
      <w:r w:rsidRPr="00686FB1">
        <w:rPr>
          <w:rFonts w:ascii="Open Sans" w:hAnsi="Open Sans" w:cs="Open Sans"/>
          <w:bCs/>
          <w:color w:val="auto"/>
          <w:sz w:val="20"/>
          <w:szCs w:val="20"/>
        </w:rPr>
        <w:t>Social inclusion - services are planned and delivered to promote opportunities for people to be included in their communities</w:t>
      </w:r>
    </w:p>
    <w:p w14:paraId="0E314A71" w14:textId="77777777" w:rsidR="00C0709C" w:rsidRPr="00686FB1" w:rsidRDefault="00C0709C" w:rsidP="00C0709C">
      <w:pPr>
        <w:pStyle w:val="ListParagraph"/>
        <w:numPr>
          <w:ilvl w:val="0"/>
          <w:numId w:val="4"/>
        </w:numPr>
        <w:rPr>
          <w:rFonts w:ascii="Open Sans" w:hAnsi="Open Sans" w:cs="Open Sans"/>
          <w:bCs/>
          <w:color w:val="auto"/>
          <w:sz w:val="20"/>
          <w:szCs w:val="20"/>
        </w:rPr>
      </w:pPr>
      <w:r w:rsidRPr="00686FB1">
        <w:rPr>
          <w:rFonts w:ascii="Open Sans" w:hAnsi="Open Sans" w:cs="Open Sans"/>
          <w:bCs/>
          <w:color w:val="auto"/>
          <w:sz w:val="20"/>
          <w:szCs w:val="20"/>
        </w:rPr>
        <w:lastRenderedPageBreak/>
        <w:t>Participation - people using our services are included in decision making about the service they receive</w:t>
      </w:r>
    </w:p>
    <w:p w14:paraId="140177A4" w14:textId="77777777" w:rsidR="00C0709C" w:rsidRPr="00686FB1" w:rsidRDefault="00C0709C" w:rsidP="00C0709C">
      <w:pPr>
        <w:pStyle w:val="ListParagraph"/>
        <w:numPr>
          <w:ilvl w:val="0"/>
          <w:numId w:val="4"/>
        </w:numPr>
        <w:rPr>
          <w:rFonts w:ascii="Open Sans" w:hAnsi="Open Sans" w:cs="Open Sans"/>
          <w:bCs/>
          <w:color w:val="auto"/>
          <w:sz w:val="20"/>
          <w:szCs w:val="20"/>
        </w:rPr>
      </w:pPr>
      <w:r w:rsidRPr="00686FB1">
        <w:rPr>
          <w:rFonts w:ascii="Open Sans" w:hAnsi="Open Sans" w:cs="Open Sans"/>
          <w:bCs/>
          <w:color w:val="auto"/>
          <w:sz w:val="20"/>
          <w:szCs w:val="20"/>
        </w:rPr>
        <w:t xml:space="preserve">Choice - people using services </w:t>
      </w:r>
      <w:proofErr w:type="gramStart"/>
      <w:r w:rsidRPr="00686FB1">
        <w:rPr>
          <w:rFonts w:ascii="Open Sans" w:hAnsi="Open Sans" w:cs="Open Sans"/>
          <w:bCs/>
          <w:color w:val="auto"/>
          <w:sz w:val="20"/>
          <w:szCs w:val="20"/>
        </w:rPr>
        <w:t>have the opportunity to</w:t>
      </w:r>
      <w:proofErr w:type="gramEnd"/>
      <w:r w:rsidRPr="00686FB1">
        <w:rPr>
          <w:rFonts w:ascii="Open Sans" w:hAnsi="Open Sans" w:cs="Open Sans"/>
          <w:bCs/>
          <w:color w:val="auto"/>
          <w:sz w:val="20"/>
          <w:szCs w:val="20"/>
        </w:rPr>
        <w:t xml:space="preserve"> make choices about the services they receive and where and how they receive them within our available resources</w:t>
      </w:r>
    </w:p>
    <w:p w14:paraId="175796F6" w14:textId="77777777" w:rsidR="00C0709C" w:rsidRPr="00686FB1" w:rsidRDefault="00C0709C" w:rsidP="00C0709C">
      <w:pPr>
        <w:pStyle w:val="ListParagraph"/>
        <w:numPr>
          <w:ilvl w:val="0"/>
          <w:numId w:val="4"/>
        </w:numPr>
        <w:rPr>
          <w:rFonts w:ascii="Open Sans" w:hAnsi="Open Sans" w:cs="Open Sans"/>
          <w:bCs/>
          <w:color w:val="auto"/>
          <w:sz w:val="20"/>
          <w:szCs w:val="20"/>
        </w:rPr>
      </w:pPr>
      <w:r w:rsidRPr="00686FB1">
        <w:rPr>
          <w:rFonts w:ascii="Open Sans" w:hAnsi="Open Sans" w:cs="Open Sans"/>
          <w:bCs/>
          <w:color w:val="auto"/>
          <w:sz w:val="20"/>
          <w:szCs w:val="20"/>
        </w:rPr>
        <w:t>Safe – we have zero tolerance for abuse, neglect, harm and discrimination.</w:t>
      </w:r>
    </w:p>
    <w:p w14:paraId="164720AE" w14:textId="77777777" w:rsidR="00C0709C" w:rsidRPr="00DF7D54" w:rsidRDefault="00C0709C" w:rsidP="00C0709C">
      <w:pPr>
        <w:rPr>
          <w:rFonts w:ascii="Open Sans" w:hAnsi="Open Sans" w:cs="Open Sans"/>
          <w:bCs/>
          <w:color w:val="auto"/>
          <w:sz w:val="20"/>
          <w:szCs w:val="20"/>
          <w:u w:val="single"/>
        </w:rPr>
      </w:pPr>
      <w:r w:rsidRPr="00DF7D54">
        <w:rPr>
          <w:rFonts w:ascii="Open Sans" w:hAnsi="Open Sans" w:cs="Open Sans"/>
          <w:bCs/>
          <w:color w:val="auto"/>
          <w:sz w:val="20"/>
          <w:szCs w:val="20"/>
          <w:u w:val="single"/>
        </w:rPr>
        <w:t>Procedure</w:t>
      </w:r>
      <w:bookmarkEnd w:id="13"/>
      <w:bookmarkEnd w:id="14"/>
      <w:bookmarkEnd w:id="15"/>
      <w:bookmarkEnd w:id="16"/>
      <w:bookmarkEnd w:id="17"/>
    </w:p>
    <w:p w14:paraId="41BD675C" w14:textId="77777777" w:rsidR="00C0709C" w:rsidRPr="00DF7D54" w:rsidRDefault="00C0709C" w:rsidP="00C0709C">
      <w:pPr>
        <w:rPr>
          <w:rFonts w:ascii="Open Sans" w:hAnsi="Open Sans" w:cs="Open Sans"/>
          <w:bCs/>
          <w:color w:val="auto"/>
          <w:sz w:val="20"/>
          <w:szCs w:val="20"/>
        </w:rPr>
      </w:pPr>
      <w:bookmarkStart w:id="18" w:name="_Toc102211689"/>
      <w:bookmarkStart w:id="19" w:name="_Toc102213581"/>
      <w:bookmarkStart w:id="20" w:name="_Toc102215406"/>
      <w:bookmarkStart w:id="21" w:name="_Toc102217245"/>
      <w:bookmarkStart w:id="22" w:name="_Toc102227400"/>
      <w:r w:rsidRPr="00DF7D54">
        <w:rPr>
          <w:rFonts w:ascii="Open Sans" w:hAnsi="Open Sans" w:cs="Open Sans"/>
          <w:bCs/>
          <w:color w:val="auto"/>
          <w:sz w:val="20"/>
          <w:szCs w:val="20"/>
        </w:rPr>
        <w:t>Participation in governance and management</w:t>
      </w:r>
      <w:bookmarkEnd w:id="18"/>
      <w:bookmarkEnd w:id="19"/>
      <w:bookmarkEnd w:id="20"/>
      <w:bookmarkEnd w:id="21"/>
      <w:bookmarkEnd w:id="22"/>
    </w:p>
    <w:p w14:paraId="1A331E73" w14:textId="77777777" w:rsidR="00C0709C" w:rsidRPr="00DF7D54" w:rsidRDefault="00C0709C" w:rsidP="00C0709C">
      <w:pPr>
        <w:jc w:val="both"/>
        <w:rPr>
          <w:rFonts w:ascii="Open Sans" w:hAnsi="Open Sans" w:cs="Open Sans"/>
          <w:color w:val="auto"/>
          <w:sz w:val="20"/>
          <w:szCs w:val="20"/>
        </w:rPr>
      </w:pPr>
      <w:r w:rsidRPr="00DF7D54">
        <w:rPr>
          <w:rFonts w:ascii="Open Sans" w:hAnsi="Open Sans" w:cs="Open Sans"/>
          <w:color w:val="auto"/>
          <w:sz w:val="20"/>
          <w:szCs w:val="20"/>
        </w:rPr>
        <w:t>We make sure that Residents are aware of their opportunities for participation at each stage of the service they receive (or community development process) and for broader participation in service development, evaluation, planning and in organisational management. Our communication strategies include:</w:t>
      </w:r>
    </w:p>
    <w:p w14:paraId="3623D614" w14:textId="77777777" w:rsidR="00C0709C" w:rsidRPr="00DF7D54" w:rsidRDefault="00C0709C" w:rsidP="00C0709C">
      <w:pPr>
        <w:pStyle w:val="ListParagraph"/>
        <w:numPr>
          <w:ilvl w:val="0"/>
          <w:numId w:val="2"/>
        </w:numPr>
        <w:spacing w:after="240" w:line="240" w:lineRule="auto"/>
        <w:jc w:val="both"/>
        <w:rPr>
          <w:rFonts w:ascii="Open Sans" w:hAnsi="Open Sans" w:cs="Open Sans"/>
          <w:color w:val="auto"/>
          <w:sz w:val="20"/>
          <w:szCs w:val="20"/>
          <w:lang w:val="en-US"/>
        </w:rPr>
      </w:pPr>
      <w:r w:rsidRPr="00DF7D54">
        <w:rPr>
          <w:rFonts w:ascii="Open Sans" w:hAnsi="Open Sans" w:cs="Open Sans"/>
          <w:color w:val="auto"/>
          <w:sz w:val="20"/>
          <w:szCs w:val="20"/>
          <w:lang w:val="en-US"/>
        </w:rPr>
        <w:t xml:space="preserve">A Resident Charter of Rights and Responsibilities which all staff and Maybanke Management Committee members must adhere </w:t>
      </w:r>
      <w:proofErr w:type="gramStart"/>
      <w:r w:rsidRPr="00DF7D54">
        <w:rPr>
          <w:rFonts w:ascii="Open Sans" w:hAnsi="Open Sans" w:cs="Open Sans"/>
          <w:color w:val="auto"/>
          <w:sz w:val="20"/>
          <w:szCs w:val="20"/>
          <w:lang w:val="en-US"/>
        </w:rPr>
        <w:t>to</w:t>
      </w:r>
      <w:proofErr w:type="gramEnd"/>
      <w:r w:rsidRPr="00DF7D54">
        <w:rPr>
          <w:rFonts w:ascii="Open Sans" w:hAnsi="Open Sans" w:cs="Open Sans"/>
          <w:color w:val="auto"/>
          <w:sz w:val="20"/>
          <w:szCs w:val="20"/>
          <w:lang w:val="en-US"/>
        </w:rPr>
        <w:t xml:space="preserve"> and which is displayed in the office and provided at intake.</w:t>
      </w:r>
    </w:p>
    <w:p w14:paraId="17D88EDE" w14:textId="77777777" w:rsidR="00C0709C" w:rsidRPr="00DF7D54" w:rsidRDefault="00C0709C" w:rsidP="00C0709C">
      <w:pPr>
        <w:pStyle w:val="ListParagraph"/>
        <w:numPr>
          <w:ilvl w:val="0"/>
          <w:numId w:val="2"/>
        </w:numPr>
        <w:spacing w:after="240" w:line="240" w:lineRule="auto"/>
        <w:jc w:val="both"/>
        <w:rPr>
          <w:rFonts w:ascii="Open Sans" w:hAnsi="Open Sans" w:cs="Open Sans"/>
          <w:color w:val="auto"/>
          <w:sz w:val="20"/>
          <w:szCs w:val="20"/>
        </w:rPr>
      </w:pPr>
      <w:r w:rsidRPr="00DF7D54">
        <w:rPr>
          <w:rFonts w:ascii="Open Sans" w:hAnsi="Open Sans" w:cs="Open Sans"/>
          <w:color w:val="auto"/>
          <w:sz w:val="20"/>
          <w:szCs w:val="20"/>
          <w:lang w:val="en-US"/>
        </w:rPr>
        <w:t xml:space="preserve">Support planning meetings and </w:t>
      </w:r>
      <w:proofErr w:type="gramStart"/>
      <w:r w:rsidRPr="00DF7D54">
        <w:rPr>
          <w:rFonts w:ascii="Open Sans" w:hAnsi="Open Sans" w:cs="Open Sans"/>
          <w:color w:val="auto"/>
          <w:sz w:val="20"/>
          <w:szCs w:val="20"/>
          <w:lang w:val="en-US"/>
        </w:rPr>
        <w:t>open door</w:t>
      </w:r>
      <w:proofErr w:type="gramEnd"/>
      <w:r w:rsidRPr="00DF7D54">
        <w:rPr>
          <w:rFonts w:ascii="Open Sans" w:hAnsi="Open Sans" w:cs="Open Sans"/>
          <w:color w:val="auto"/>
          <w:sz w:val="20"/>
          <w:szCs w:val="20"/>
          <w:lang w:val="en-US"/>
        </w:rPr>
        <w:t xml:space="preserve"> policy to discuss any </w:t>
      </w:r>
      <w:proofErr w:type="gramStart"/>
      <w:r w:rsidRPr="00DF7D54">
        <w:rPr>
          <w:rFonts w:ascii="Open Sans" w:hAnsi="Open Sans" w:cs="Open Sans"/>
          <w:color w:val="auto"/>
          <w:sz w:val="20"/>
          <w:szCs w:val="20"/>
          <w:lang w:val="en-US"/>
        </w:rPr>
        <w:t>arising  needs</w:t>
      </w:r>
      <w:proofErr w:type="gramEnd"/>
      <w:r w:rsidRPr="00DF7D54">
        <w:rPr>
          <w:rFonts w:ascii="Open Sans" w:hAnsi="Open Sans" w:cs="Open Sans"/>
          <w:color w:val="auto"/>
          <w:sz w:val="20"/>
          <w:szCs w:val="20"/>
          <w:lang w:val="en-US"/>
        </w:rPr>
        <w:t xml:space="preserve"> and issues </w:t>
      </w:r>
    </w:p>
    <w:p w14:paraId="69ED86B4" w14:textId="77777777" w:rsidR="00C0709C" w:rsidRPr="00DF7D54" w:rsidRDefault="00C0709C" w:rsidP="00C0709C">
      <w:pPr>
        <w:pStyle w:val="ListParagraph"/>
        <w:numPr>
          <w:ilvl w:val="0"/>
          <w:numId w:val="2"/>
        </w:numPr>
        <w:spacing w:after="240" w:line="240" w:lineRule="auto"/>
        <w:jc w:val="both"/>
        <w:rPr>
          <w:rFonts w:ascii="Open Sans" w:hAnsi="Open Sans" w:cs="Open Sans"/>
          <w:color w:val="auto"/>
          <w:sz w:val="20"/>
          <w:szCs w:val="20"/>
        </w:rPr>
      </w:pPr>
      <w:r w:rsidRPr="00DF7D54">
        <w:rPr>
          <w:rFonts w:ascii="Open Sans" w:hAnsi="Open Sans" w:cs="Open Sans"/>
          <w:color w:val="auto"/>
          <w:sz w:val="20"/>
          <w:szCs w:val="20"/>
        </w:rPr>
        <w:t xml:space="preserve">We provide the support Residents need to participate, wherever possible, including using technology, interpreters, or translating information. A Resident can also choose to bring a support person to any event or meeting. </w:t>
      </w:r>
    </w:p>
    <w:p w14:paraId="5855A019" w14:textId="77777777" w:rsidR="00C0709C" w:rsidRPr="00DF7D54" w:rsidRDefault="00C0709C" w:rsidP="00C0709C">
      <w:pPr>
        <w:pStyle w:val="ListParagraph"/>
        <w:numPr>
          <w:ilvl w:val="0"/>
          <w:numId w:val="2"/>
        </w:numPr>
        <w:spacing w:after="240" w:line="240" w:lineRule="auto"/>
        <w:jc w:val="both"/>
        <w:rPr>
          <w:rFonts w:ascii="Open Sans" w:hAnsi="Open Sans" w:cs="Open Sans"/>
          <w:color w:val="auto"/>
          <w:sz w:val="20"/>
          <w:szCs w:val="20"/>
        </w:rPr>
      </w:pPr>
      <w:r w:rsidRPr="00DF7D54">
        <w:rPr>
          <w:rFonts w:ascii="Open Sans" w:hAnsi="Open Sans" w:cs="Open Sans"/>
          <w:color w:val="auto"/>
          <w:sz w:val="20"/>
          <w:szCs w:val="20"/>
        </w:rPr>
        <w:t xml:space="preserve">Where appropriate or necessary, we will also endeavour to provide Residents with training, skill development or mentoring to enable their participation where possible, e.g. by providing them with information related to the </w:t>
      </w:r>
      <w:proofErr w:type="gramStart"/>
      <w:r w:rsidRPr="00DF7D54">
        <w:rPr>
          <w:rFonts w:ascii="Open Sans" w:hAnsi="Open Sans" w:cs="Open Sans"/>
          <w:color w:val="auto"/>
          <w:sz w:val="20"/>
          <w:szCs w:val="20"/>
        </w:rPr>
        <w:t>topic, or</w:t>
      </w:r>
      <w:proofErr w:type="gramEnd"/>
      <w:r w:rsidRPr="00DF7D54">
        <w:rPr>
          <w:rFonts w:ascii="Open Sans" w:hAnsi="Open Sans" w:cs="Open Sans"/>
          <w:color w:val="auto"/>
          <w:sz w:val="20"/>
          <w:szCs w:val="20"/>
        </w:rPr>
        <w:t xml:space="preserve"> partnering them with a Resident experienced in a certain area. </w:t>
      </w:r>
    </w:p>
    <w:p w14:paraId="67EBD0D2" w14:textId="77777777" w:rsidR="00C0709C" w:rsidRPr="00DF7D54" w:rsidRDefault="00C0709C" w:rsidP="00C0709C">
      <w:pPr>
        <w:pStyle w:val="ListParagraph"/>
        <w:numPr>
          <w:ilvl w:val="0"/>
          <w:numId w:val="2"/>
        </w:numPr>
        <w:rPr>
          <w:rFonts w:ascii="Open Sans" w:hAnsi="Open Sans" w:cs="Open Sans"/>
          <w:color w:val="auto"/>
          <w:sz w:val="20"/>
          <w:szCs w:val="20"/>
        </w:rPr>
      </w:pPr>
      <w:r w:rsidRPr="00DF7D54">
        <w:rPr>
          <w:rFonts w:ascii="Open Sans" w:hAnsi="Open Sans" w:cs="Open Sans"/>
          <w:color w:val="auto"/>
          <w:sz w:val="20"/>
          <w:szCs w:val="20"/>
        </w:rPr>
        <w:t>We will keep confidential records of Resident engagement in our governance and management processes.</w:t>
      </w:r>
    </w:p>
    <w:p w14:paraId="5CB6FE26" w14:textId="77777777" w:rsidR="00C0709C" w:rsidRPr="00DF7D54" w:rsidRDefault="00C0709C" w:rsidP="00C0709C">
      <w:pPr>
        <w:rPr>
          <w:rFonts w:ascii="Open Sans" w:hAnsi="Open Sans" w:cs="Open Sans"/>
          <w:bCs/>
          <w:color w:val="auto"/>
          <w:sz w:val="20"/>
          <w:szCs w:val="20"/>
          <w:u w:val="single"/>
        </w:rPr>
      </w:pPr>
      <w:bookmarkStart w:id="23" w:name="_Toc102211690"/>
      <w:bookmarkStart w:id="24" w:name="_Toc102213582"/>
      <w:bookmarkStart w:id="25" w:name="_Toc102215407"/>
      <w:bookmarkStart w:id="26" w:name="_Toc102217246"/>
      <w:bookmarkStart w:id="27" w:name="_Toc102227401"/>
      <w:r w:rsidRPr="00DF7D54">
        <w:rPr>
          <w:rFonts w:ascii="Open Sans" w:hAnsi="Open Sans" w:cs="Open Sans"/>
          <w:bCs/>
          <w:color w:val="auto"/>
          <w:sz w:val="20"/>
          <w:szCs w:val="20"/>
          <w:u w:val="single"/>
        </w:rPr>
        <w:t>Participation and choice in service delivery</w:t>
      </w:r>
      <w:bookmarkEnd w:id="23"/>
      <w:bookmarkEnd w:id="24"/>
      <w:bookmarkEnd w:id="25"/>
      <w:bookmarkEnd w:id="26"/>
      <w:bookmarkEnd w:id="27"/>
    </w:p>
    <w:p w14:paraId="7340ED4A" w14:textId="77777777" w:rsidR="00C0709C" w:rsidRPr="00DF7D54" w:rsidRDefault="00C0709C" w:rsidP="00C0709C">
      <w:pPr>
        <w:jc w:val="both"/>
        <w:rPr>
          <w:rFonts w:ascii="Open Sans" w:hAnsi="Open Sans" w:cs="Open Sans"/>
          <w:color w:val="auto"/>
          <w:sz w:val="20"/>
          <w:szCs w:val="20"/>
        </w:rPr>
      </w:pPr>
      <w:r w:rsidRPr="00DF7D54">
        <w:rPr>
          <w:rFonts w:ascii="Open Sans" w:hAnsi="Open Sans" w:cs="Open Sans"/>
          <w:color w:val="auto"/>
          <w:sz w:val="20"/>
          <w:szCs w:val="20"/>
        </w:rPr>
        <w:t xml:space="preserve">Residents being involved in their services is a principle that is very important to us. Within this principle we acknowledge that there can be barriers to participation, resource limitations, or communication and/or geographical barriers. We will always endeavour to meet the needs of our Residents within our program guidelines, and if this is not possible, we will record our attempts and outcomes in the Resident’s record. </w:t>
      </w:r>
    </w:p>
    <w:p w14:paraId="1CDC28E5" w14:textId="77777777" w:rsidR="00C0709C" w:rsidRPr="00DF7D54" w:rsidRDefault="00C0709C" w:rsidP="00C0709C">
      <w:pPr>
        <w:rPr>
          <w:rFonts w:ascii="Open Sans" w:hAnsi="Open Sans" w:cs="Open Sans"/>
          <w:color w:val="auto"/>
          <w:sz w:val="20"/>
          <w:szCs w:val="20"/>
        </w:rPr>
      </w:pPr>
      <w:r w:rsidRPr="00DF7D54">
        <w:rPr>
          <w:rFonts w:ascii="Open Sans" w:hAnsi="Open Sans" w:cs="Open Sans"/>
          <w:color w:val="auto"/>
          <w:sz w:val="20"/>
          <w:szCs w:val="20"/>
        </w:rPr>
        <w:t>We use the following strategies to ensure that our Residents are involved throughout their time with our organisation:</w:t>
      </w:r>
    </w:p>
    <w:p w14:paraId="45199A27" w14:textId="77777777" w:rsidR="00C0709C" w:rsidRPr="00DF7D54" w:rsidRDefault="00C0709C" w:rsidP="00C0709C">
      <w:pPr>
        <w:pStyle w:val="ListParagraph"/>
        <w:numPr>
          <w:ilvl w:val="0"/>
          <w:numId w:val="1"/>
        </w:numPr>
        <w:spacing w:after="240" w:line="240" w:lineRule="auto"/>
        <w:rPr>
          <w:rFonts w:ascii="Open Sans" w:hAnsi="Open Sans" w:cs="Open Sans"/>
          <w:color w:val="auto"/>
          <w:sz w:val="20"/>
          <w:szCs w:val="20"/>
        </w:rPr>
      </w:pPr>
      <w:r w:rsidRPr="00DF7D54">
        <w:rPr>
          <w:rFonts w:ascii="Open Sans" w:hAnsi="Open Sans" w:cs="Open Sans"/>
          <w:color w:val="auto"/>
          <w:sz w:val="20"/>
          <w:szCs w:val="20"/>
        </w:rPr>
        <w:t xml:space="preserve">Regular support planning meetings with the </w:t>
      </w:r>
      <w:r w:rsidRPr="008D0AD6">
        <w:rPr>
          <w:rFonts w:ascii="Open Sans" w:hAnsi="Open Sans" w:cs="Open Sans"/>
          <w:color w:val="auto"/>
          <w:sz w:val="20"/>
          <w:szCs w:val="20"/>
        </w:rPr>
        <w:t>Case Worker</w:t>
      </w:r>
      <w:r w:rsidRPr="00DF7D54">
        <w:rPr>
          <w:rFonts w:ascii="Open Sans" w:hAnsi="Open Sans" w:cs="Open Sans"/>
          <w:color w:val="auto"/>
          <w:sz w:val="20"/>
          <w:szCs w:val="20"/>
        </w:rPr>
        <w:t xml:space="preserve"> to assist the </w:t>
      </w:r>
      <w:proofErr w:type="gramStart"/>
      <w:r w:rsidRPr="00DF7D54">
        <w:rPr>
          <w:rFonts w:ascii="Open Sans" w:hAnsi="Open Sans" w:cs="Open Sans"/>
          <w:color w:val="auto"/>
          <w:sz w:val="20"/>
          <w:szCs w:val="20"/>
        </w:rPr>
        <w:t>Resident  to</w:t>
      </w:r>
      <w:proofErr w:type="gramEnd"/>
      <w:r w:rsidRPr="00DF7D54">
        <w:rPr>
          <w:rFonts w:ascii="Open Sans" w:hAnsi="Open Sans" w:cs="Open Sans"/>
          <w:color w:val="auto"/>
          <w:sz w:val="20"/>
          <w:szCs w:val="20"/>
        </w:rPr>
        <w:t xml:space="preserve"> develop her own goals and monitor progress</w:t>
      </w:r>
    </w:p>
    <w:p w14:paraId="023BB685" w14:textId="77777777" w:rsidR="00C0709C" w:rsidRPr="00DF7D54" w:rsidRDefault="00C0709C" w:rsidP="00C0709C">
      <w:pPr>
        <w:rPr>
          <w:rFonts w:ascii="Open Sans" w:hAnsi="Open Sans" w:cs="Open Sans"/>
          <w:color w:val="auto"/>
          <w:sz w:val="20"/>
          <w:szCs w:val="20"/>
        </w:rPr>
      </w:pPr>
      <w:r w:rsidRPr="00DF7D54">
        <w:rPr>
          <w:rFonts w:ascii="Open Sans" w:hAnsi="Open Sans" w:cs="Open Sans"/>
          <w:color w:val="auto"/>
          <w:sz w:val="20"/>
          <w:szCs w:val="20"/>
        </w:rPr>
        <w:t xml:space="preserve">Strategies for individual Residents will </w:t>
      </w:r>
      <w:r w:rsidRPr="008D0AD6">
        <w:rPr>
          <w:rFonts w:ascii="Open Sans" w:hAnsi="Open Sans" w:cs="Open Sans"/>
          <w:color w:val="auto"/>
          <w:sz w:val="20"/>
          <w:szCs w:val="20"/>
        </w:rPr>
        <w:t>vary and</w:t>
      </w:r>
      <w:r w:rsidRPr="00DF7D54">
        <w:rPr>
          <w:rFonts w:ascii="Open Sans" w:hAnsi="Open Sans" w:cs="Open Sans"/>
          <w:color w:val="auto"/>
          <w:sz w:val="20"/>
          <w:szCs w:val="20"/>
        </w:rPr>
        <w:t xml:space="preserve"> will be recorded in their </w:t>
      </w:r>
      <w:r w:rsidRPr="008D0AD6">
        <w:rPr>
          <w:rFonts w:ascii="Open Sans" w:hAnsi="Open Sans" w:cs="Open Sans"/>
          <w:color w:val="auto"/>
          <w:sz w:val="20"/>
          <w:szCs w:val="20"/>
        </w:rPr>
        <w:t>electronic file</w:t>
      </w:r>
      <w:r w:rsidRPr="00DF7D54">
        <w:rPr>
          <w:rFonts w:ascii="Open Sans" w:hAnsi="Open Sans" w:cs="Open Sans"/>
          <w:color w:val="auto"/>
          <w:sz w:val="20"/>
          <w:szCs w:val="20"/>
        </w:rPr>
        <w:t>.</w:t>
      </w:r>
    </w:p>
    <w:p w14:paraId="47D5B274" w14:textId="77777777" w:rsidR="00C0709C" w:rsidRPr="00DF7D54" w:rsidRDefault="00C0709C" w:rsidP="00C0709C">
      <w:pPr>
        <w:rPr>
          <w:rFonts w:ascii="Open Sans" w:hAnsi="Open Sans" w:cs="Open Sans"/>
          <w:bCs/>
          <w:color w:val="auto"/>
          <w:sz w:val="20"/>
          <w:szCs w:val="20"/>
          <w:u w:val="single"/>
        </w:rPr>
      </w:pPr>
      <w:bookmarkStart w:id="28" w:name="_Toc102211691"/>
      <w:bookmarkStart w:id="29" w:name="_Toc102213583"/>
      <w:bookmarkStart w:id="30" w:name="_Toc102215408"/>
      <w:bookmarkStart w:id="31" w:name="_Toc102217247"/>
      <w:bookmarkStart w:id="32" w:name="_Toc102227402"/>
      <w:r w:rsidRPr="00DF7D54">
        <w:rPr>
          <w:rFonts w:ascii="Open Sans" w:hAnsi="Open Sans" w:cs="Open Sans"/>
          <w:bCs/>
          <w:color w:val="auto"/>
          <w:sz w:val="20"/>
          <w:szCs w:val="20"/>
          <w:u w:val="single"/>
        </w:rPr>
        <w:t>Supporting Documents</w:t>
      </w:r>
      <w:bookmarkEnd w:id="28"/>
      <w:bookmarkEnd w:id="29"/>
      <w:bookmarkEnd w:id="30"/>
      <w:bookmarkEnd w:id="31"/>
      <w:bookmarkEnd w:id="32"/>
    </w:p>
    <w:p w14:paraId="6C2BF770" w14:textId="77777777" w:rsidR="00C0709C" w:rsidRPr="00DF7D54" w:rsidRDefault="00C0709C" w:rsidP="00C0709C">
      <w:pPr>
        <w:rPr>
          <w:rFonts w:ascii="Open Sans" w:hAnsi="Open Sans" w:cs="Open Sans"/>
          <w:color w:val="auto"/>
          <w:sz w:val="20"/>
          <w:szCs w:val="20"/>
        </w:rPr>
      </w:pPr>
      <w:r w:rsidRPr="00DF7D54">
        <w:rPr>
          <w:rFonts w:ascii="Open Sans" w:hAnsi="Open Sans" w:cs="Open Sans"/>
          <w:color w:val="auto"/>
          <w:sz w:val="20"/>
          <w:szCs w:val="20"/>
        </w:rPr>
        <w:t>Welcome Booklet</w:t>
      </w:r>
    </w:p>
    <w:p w14:paraId="6DC078B9" w14:textId="77777777" w:rsidR="00C0709C" w:rsidRPr="00DF7D54" w:rsidRDefault="00C0709C" w:rsidP="00C0709C">
      <w:pPr>
        <w:rPr>
          <w:rFonts w:ascii="Open Sans" w:hAnsi="Open Sans" w:cs="Open Sans"/>
          <w:color w:val="auto"/>
          <w:sz w:val="20"/>
          <w:szCs w:val="20"/>
        </w:rPr>
      </w:pPr>
      <w:r w:rsidRPr="00DF7D54">
        <w:rPr>
          <w:rFonts w:ascii="Open Sans" w:hAnsi="Open Sans" w:cs="Open Sans"/>
          <w:color w:val="auto"/>
          <w:sz w:val="20"/>
          <w:szCs w:val="20"/>
        </w:rPr>
        <w:t>Resident Charter of Rights and Responsibilities</w:t>
      </w:r>
    </w:p>
    <w:p w14:paraId="0BE446EC" w14:textId="77777777" w:rsidR="00C0709C" w:rsidRPr="00DF7D54" w:rsidRDefault="00C0709C" w:rsidP="00C0709C">
      <w:pPr>
        <w:rPr>
          <w:rFonts w:ascii="Open Sans" w:hAnsi="Open Sans" w:cs="Open Sans"/>
          <w:b/>
          <w:color w:val="auto"/>
          <w:sz w:val="20"/>
          <w:szCs w:val="20"/>
        </w:rPr>
      </w:pPr>
      <w:r w:rsidRPr="008D0AD6">
        <w:rPr>
          <w:rFonts w:ascii="Open Sans" w:hAnsi="Open Sans" w:cs="Open Sans"/>
          <w:bCs/>
          <w:color w:val="auto"/>
          <w:sz w:val="20"/>
          <w:szCs w:val="20"/>
        </w:rPr>
        <w:t>Version Control</w:t>
      </w:r>
    </w:p>
    <w:tbl>
      <w:tblPr>
        <w:tblStyle w:val="TableGrid"/>
        <w:tblW w:w="0" w:type="auto"/>
        <w:tblLook w:val="04A0" w:firstRow="1" w:lastRow="0" w:firstColumn="1" w:lastColumn="0" w:noHBand="0" w:noVBand="1"/>
      </w:tblPr>
      <w:tblGrid>
        <w:gridCol w:w="1271"/>
        <w:gridCol w:w="709"/>
        <w:gridCol w:w="5103"/>
      </w:tblGrid>
      <w:tr w:rsidR="00C0709C" w:rsidRPr="008D0AD6" w14:paraId="47DE78C8" w14:textId="77777777" w:rsidTr="00686FB1">
        <w:tc>
          <w:tcPr>
            <w:tcW w:w="1271" w:type="dxa"/>
          </w:tcPr>
          <w:p w14:paraId="4F818CFF" w14:textId="77777777" w:rsidR="00C0709C" w:rsidRPr="008D0AD6" w:rsidRDefault="00C0709C" w:rsidP="00686FB1">
            <w:pPr>
              <w:rPr>
                <w:rFonts w:ascii="Open Sans" w:hAnsi="Open Sans" w:cs="Open Sans"/>
                <w:color w:val="auto"/>
                <w:sz w:val="20"/>
                <w:szCs w:val="20"/>
              </w:rPr>
            </w:pPr>
            <w:r w:rsidRPr="008D0AD6">
              <w:rPr>
                <w:rFonts w:ascii="Open Sans" w:hAnsi="Open Sans" w:cs="Open Sans"/>
                <w:color w:val="auto"/>
                <w:sz w:val="20"/>
                <w:szCs w:val="20"/>
              </w:rPr>
              <w:t xml:space="preserve">Version </w:t>
            </w:r>
          </w:p>
        </w:tc>
        <w:tc>
          <w:tcPr>
            <w:tcW w:w="709" w:type="dxa"/>
          </w:tcPr>
          <w:p w14:paraId="380AF47E" w14:textId="77777777" w:rsidR="00C0709C" w:rsidRPr="008D0AD6" w:rsidRDefault="00C0709C" w:rsidP="00686FB1">
            <w:pPr>
              <w:rPr>
                <w:rFonts w:ascii="Open Sans" w:hAnsi="Open Sans" w:cs="Open Sans"/>
                <w:color w:val="auto"/>
                <w:sz w:val="20"/>
                <w:szCs w:val="20"/>
              </w:rPr>
            </w:pPr>
            <w:r w:rsidRPr="008D0AD6">
              <w:rPr>
                <w:rFonts w:ascii="Open Sans" w:hAnsi="Open Sans" w:cs="Open Sans"/>
                <w:color w:val="auto"/>
                <w:sz w:val="20"/>
                <w:szCs w:val="20"/>
              </w:rPr>
              <w:t>2</w:t>
            </w:r>
          </w:p>
        </w:tc>
        <w:tc>
          <w:tcPr>
            <w:tcW w:w="5103" w:type="dxa"/>
          </w:tcPr>
          <w:p w14:paraId="17526828" w14:textId="7F2C2D91" w:rsidR="00C0709C" w:rsidRPr="008D0AD6" w:rsidRDefault="00C0709C" w:rsidP="00686FB1">
            <w:pPr>
              <w:rPr>
                <w:rFonts w:ascii="Open Sans" w:hAnsi="Open Sans" w:cs="Open Sans"/>
                <w:color w:val="auto"/>
                <w:sz w:val="20"/>
                <w:szCs w:val="20"/>
              </w:rPr>
            </w:pPr>
            <w:r w:rsidRPr="008D0AD6">
              <w:rPr>
                <w:rFonts w:ascii="Open Sans" w:hAnsi="Open Sans" w:cs="Open Sans"/>
                <w:color w:val="auto"/>
                <w:sz w:val="20"/>
                <w:szCs w:val="20"/>
              </w:rPr>
              <w:t xml:space="preserve">Approved: </w:t>
            </w:r>
          </w:p>
          <w:p w14:paraId="7896AFAD" w14:textId="6012E438" w:rsidR="00C0709C" w:rsidRPr="008D0AD6" w:rsidRDefault="00C0709C" w:rsidP="00C0709C">
            <w:pPr>
              <w:rPr>
                <w:rFonts w:ascii="Open Sans" w:hAnsi="Open Sans" w:cs="Open Sans"/>
                <w:color w:val="auto"/>
                <w:sz w:val="20"/>
                <w:szCs w:val="20"/>
              </w:rPr>
            </w:pPr>
            <w:r w:rsidRPr="008D0AD6">
              <w:rPr>
                <w:rFonts w:ascii="Open Sans" w:hAnsi="Open Sans" w:cs="Open Sans"/>
                <w:color w:val="auto"/>
                <w:sz w:val="20"/>
                <w:szCs w:val="20"/>
              </w:rPr>
              <w:lastRenderedPageBreak/>
              <w:t xml:space="preserve">Next Review: </w:t>
            </w:r>
          </w:p>
        </w:tc>
      </w:tr>
    </w:tbl>
    <w:p w14:paraId="3CCC7117" w14:textId="77777777" w:rsidR="00C0709C" w:rsidRPr="00DF7D54" w:rsidRDefault="00C0709C" w:rsidP="00C0709C">
      <w:pPr>
        <w:rPr>
          <w:rFonts w:ascii="Open Sans" w:hAnsi="Open Sans" w:cs="Open Sans"/>
          <w:color w:val="auto"/>
          <w:sz w:val="20"/>
          <w:szCs w:val="20"/>
        </w:rPr>
      </w:pPr>
      <w:r w:rsidRPr="00DF7D54">
        <w:rPr>
          <w:rFonts w:ascii="Open Sans" w:hAnsi="Open Sans" w:cs="Open Sans"/>
          <w:color w:val="auto"/>
          <w:sz w:val="20"/>
          <w:szCs w:val="20"/>
        </w:rPr>
        <w:lastRenderedPageBreak/>
        <w:br w:type="page"/>
      </w:r>
    </w:p>
    <w:p w14:paraId="56045BB1" w14:textId="77777777" w:rsidR="00017835" w:rsidRDefault="00017835"/>
    <w:sectPr w:rsidR="00017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1941"/>
    <w:multiLevelType w:val="hybridMultilevel"/>
    <w:tmpl w:val="1EA4F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F87B70"/>
    <w:multiLevelType w:val="multilevel"/>
    <w:tmpl w:val="53AA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A24505"/>
    <w:multiLevelType w:val="multilevel"/>
    <w:tmpl w:val="53AAF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F17E28"/>
    <w:multiLevelType w:val="hybridMultilevel"/>
    <w:tmpl w:val="143C9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0102">
    <w:abstractNumId w:val="0"/>
  </w:num>
  <w:num w:numId="2" w16cid:durableId="1591308187">
    <w:abstractNumId w:val="3"/>
  </w:num>
  <w:num w:numId="3" w16cid:durableId="506603987">
    <w:abstractNumId w:val="2"/>
  </w:num>
  <w:num w:numId="4" w16cid:durableId="6522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9C"/>
    <w:rsid w:val="00017835"/>
    <w:rsid w:val="007B3684"/>
    <w:rsid w:val="00B80161"/>
    <w:rsid w:val="00C07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84A7"/>
  <w15:chartTrackingRefBased/>
  <w15:docId w15:val="{251AC334-F936-4F50-A23D-A094BB27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9C"/>
    <w:pPr>
      <w:spacing w:line="259" w:lineRule="auto"/>
    </w:pPr>
    <w:rPr>
      <w:color w:val="7030A0"/>
      <w:kern w:val="0"/>
      <w:sz w:val="22"/>
      <w:szCs w:val="22"/>
      <w14:ligatures w14:val="none"/>
    </w:rPr>
  </w:style>
  <w:style w:type="paragraph" w:styleId="Heading1">
    <w:name w:val="heading 1"/>
    <w:basedOn w:val="Normal"/>
    <w:next w:val="Normal"/>
    <w:link w:val="Heading1Char"/>
    <w:uiPriority w:val="9"/>
    <w:qFormat/>
    <w:rsid w:val="00C07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C07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0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0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0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0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0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0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0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0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C070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0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0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0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0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0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0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09C"/>
    <w:rPr>
      <w:rFonts w:eastAsiaTheme="majorEastAsia" w:cstheme="majorBidi"/>
      <w:color w:val="272727" w:themeColor="text1" w:themeTint="D8"/>
    </w:rPr>
  </w:style>
  <w:style w:type="paragraph" w:styleId="Title">
    <w:name w:val="Title"/>
    <w:basedOn w:val="Normal"/>
    <w:next w:val="Normal"/>
    <w:link w:val="TitleChar"/>
    <w:uiPriority w:val="10"/>
    <w:qFormat/>
    <w:rsid w:val="00C07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0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0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09C"/>
    <w:pPr>
      <w:spacing w:before="160"/>
      <w:jc w:val="center"/>
    </w:pPr>
    <w:rPr>
      <w:i/>
      <w:iCs/>
      <w:color w:val="404040" w:themeColor="text1" w:themeTint="BF"/>
    </w:rPr>
  </w:style>
  <w:style w:type="character" w:customStyle="1" w:styleId="QuoteChar">
    <w:name w:val="Quote Char"/>
    <w:basedOn w:val="DefaultParagraphFont"/>
    <w:link w:val="Quote"/>
    <w:uiPriority w:val="29"/>
    <w:rsid w:val="00C0709C"/>
    <w:rPr>
      <w:i/>
      <w:iCs/>
      <w:color w:val="404040" w:themeColor="text1" w:themeTint="BF"/>
    </w:rPr>
  </w:style>
  <w:style w:type="paragraph" w:styleId="ListParagraph">
    <w:name w:val="List Paragraph"/>
    <w:aliases w:val="Bulleted List,List Paragraph1,List Paragraph11,Recommendation,L,Bullet point,NFP GP Bulleted List,2nd Bullet point,#List Paragraph,Figure_name,Bullet- First level,Listenabsatz1,Number,List Paragraph111,F5 List Paragraph,Dot pt,CV text,列出段"/>
    <w:basedOn w:val="Normal"/>
    <w:link w:val="ListParagraphChar"/>
    <w:uiPriority w:val="34"/>
    <w:qFormat/>
    <w:rsid w:val="00C0709C"/>
    <w:pPr>
      <w:ind w:left="720"/>
      <w:contextualSpacing/>
    </w:pPr>
  </w:style>
  <w:style w:type="character" w:styleId="IntenseEmphasis">
    <w:name w:val="Intense Emphasis"/>
    <w:basedOn w:val="DefaultParagraphFont"/>
    <w:uiPriority w:val="21"/>
    <w:qFormat/>
    <w:rsid w:val="00C0709C"/>
    <w:rPr>
      <w:i/>
      <w:iCs/>
      <w:color w:val="0F4761" w:themeColor="accent1" w:themeShade="BF"/>
    </w:rPr>
  </w:style>
  <w:style w:type="paragraph" w:styleId="IntenseQuote">
    <w:name w:val="Intense Quote"/>
    <w:basedOn w:val="Normal"/>
    <w:next w:val="Normal"/>
    <w:link w:val="IntenseQuoteChar"/>
    <w:uiPriority w:val="30"/>
    <w:qFormat/>
    <w:rsid w:val="00C07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09C"/>
    <w:rPr>
      <w:i/>
      <w:iCs/>
      <w:color w:val="0F4761" w:themeColor="accent1" w:themeShade="BF"/>
    </w:rPr>
  </w:style>
  <w:style w:type="character" w:styleId="IntenseReference">
    <w:name w:val="Intense Reference"/>
    <w:basedOn w:val="DefaultParagraphFont"/>
    <w:uiPriority w:val="32"/>
    <w:qFormat/>
    <w:rsid w:val="00C0709C"/>
    <w:rPr>
      <w:b/>
      <w:bCs/>
      <w:smallCaps/>
      <w:color w:val="0F4761" w:themeColor="accent1" w:themeShade="BF"/>
      <w:spacing w:val="5"/>
    </w:rPr>
  </w:style>
  <w:style w:type="character" w:customStyle="1" w:styleId="ListParagraphChar">
    <w:name w:val="List Paragraph Char"/>
    <w:aliases w:val="Bulleted List Char,List Paragraph1 Char,List Paragraph11 Char,Recommendation Char,L Char,Bullet point Char,NFP GP Bulleted List Char,2nd Bullet point Char,#List Paragraph Char,Figure_name Char,Bullet- First level Char,Number Char"/>
    <w:link w:val="ListParagraph"/>
    <w:uiPriority w:val="34"/>
    <w:locked/>
    <w:rsid w:val="00C0709C"/>
  </w:style>
  <w:style w:type="table" w:styleId="TableGrid">
    <w:name w:val="Table Grid"/>
    <w:aliases w:val="QCOSS table column and row header"/>
    <w:basedOn w:val="TableNormal"/>
    <w:uiPriority w:val="39"/>
    <w:rsid w:val="00C0709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90C8DFC504641A09E2CD94875AC65" ma:contentTypeVersion="18" ma:contentTypeDescription="Create a new document." ma:contentTypeScope="" ma:versionID="99d487dbe3390f4947c0dcf0bbc47a9a">
  <xsd:schema xmlns:xsd="http://www.w3.org/2001/XMLSchema" xmlns:xs="http://www.w3.org/2001/XMLSchema" xmlns:p="http://schemas.microsoft.com/office/2006/metadata/properties" xmlns:ns2="7d0ad710-29f2-412b-9d98-b5e8ef38f3cf" xmlns:ns3="77d90392-ebdd-460f-9001-c355fadf6d6c" targetNamespace="http://schemas.microsoft.com/office/2006/metadata/properties" ma:root="true" ma:fieldsID="e6f24c86a3a7c051d0fe291d0ebdcb87" ns2:_="" ns3:_="">
    <xsd:import namespace="7d0ad710-29f2-412b-9d98-b5e8ef38f3cf"/>
    <xsd:import namespace="77d90392-ebdd-460f-9001-c355fadf6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d710-29f2-412b-9d98-b5e8ef38f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839f9-831d-439e-9cf0-5c938ae9d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90392-ebdd-460f-9001-c355fadf6d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52848e-0b32-4132-bb04-282b432aed1c}" ma:internalName="TaxCatchAll" ma:showField="CatchAllData" ma:web="77d90392-ebdd-460f-9001-c355fadf6d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0ad710-29f2-412b-9d98-b5e8ef38f3cf">
      <Terms xmlns="http://schemas.microsoft.com/office/infopath/2007/PartnerControls"/>
    </lcf76f155ced4ddcb4097134ff3c332f>
    <TaxCatchAll xmlns="77d90392-ebdd-460f-9001-c355fadf6d6c" xsi:nil="true"/>
  </documentManagement>
</p:properties>
</file>

<file path=customXml/itemProps1.xml><?xml version="1.0" encoding="utf-8"?>
<ds:datastoreItem xmlns:ds="http://schemas.openxmlformats.org/officeDocument/2006/customXml" ds:itemID="{E3ADDF3F-D30E-459B-8797-4976ED040BB8}"/>
</file>

<file path=customXml/itemProps2.xml><?xml version="1.0" encoding="utf-8"?>
<ds:datastoreItem xmlns:ds="http://schemas.openxmlformats.org/officeDocument/2006/customXml" ds:itemID="{73AA9655-33E7-435D-BC36-89EEEB75B013}"/>
</file>

<file path=customXml/itemProps3.xml><?xml version="1.0" encoding="utf-8"?>
<ds:datastoreItem xmlns:ds="http://schemas.openxmlformats.org/officeDocument/2006/customXml" ds:itemID="{50A76A3E-222F-4151-A0E0-33F81D63F49C}"/>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1</cp:revision>
  <dcterms:created xsi:type="dcterms:W3CDTF">2025-06-18T22:32:00Z</dcterms:created>
  <dcterms:modified xsi:type="dcterms:W3CDTF">2025-06-18T22:33:00Z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0x01010096C90C8DFC504641A09E2CD94875AC65</vt:lpwstr>
  </property>
</Properties>
</file>